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3" w:type="dxa"/>
        <w:jc w:val="center"/>
        <w:tblInd w:w="-5593" w:type="dxa"/>
        <w:tblLayout w:type="fixed"/>
        <w:tblLook w:val="0000"/>
      </w:tblPr>
      <w:tblGrid>
        <w:gridCol w:w="5200"/>
        <w:gridCol w:w="6003"/>
      </w:tblGrid>
      <w:tr w:rsidR="00910EA2" w:rsidRPr="004553CC" w:rsidTr="009B589B">
        <w:trPr>
          <w:jc w:val="center"/>
        </w:trPr>
        <w:tc>
          <w:tcPr>
            <w:tcW w:w="5200" w:type="dxa"/>
          </w:tcPr>
          <w:p w:rsidR="00910EA2" w:rsidRPr="004553CC" w:rsidRDefault="00910EA2" w:rsidP="009B589B">
            <w:pPr>
              <w:ind w:left="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3CC">
              <w:rPr>
                <w:rFonts w:ascii="Times New Roman" w:hAnsi="Times New Roman"/>
                <w:sz w:val="26"/>
                <w:szCs w:val="26"/>
              </w:rPr>
              <w:t>BỘ TÀI CHÍNH</w:t>
            </w:r>
          </w:p>
          <w:p w:rsidR="00910EA2" w:rsidRPr="004553CC" w:rsidRDefault="00910EA2" w:rsidP="009B589B">
            <w:pPr>
              <w:pStyle w:val="BodyText"/>
              <w:ind w:left="104"/>
              <w:rPr>
                <w:szCs w:val="24"/>
              </w:rPr>
            </w:pPr>
            <w:r w:rsidRPr="004553CC">
              <w:rPr>
                <w:szCs w:val="24"/>
              </w:rPr>
              <w:t>SỞ GIAO DỊCH CHỨNG KHOÁN TP.HCM</w:t>
            </w:r>
          </w:p>
          <w:p w:rsidR="00910EA2" w:rsidRPr="004553CC" w:rsidRDefault="00910EA2" w:rsidP="009B589B">
            <w:pPr>
              <w:pStyle w:val="BodyTextIndent2"/>
              <w:ind w:left="194" w:firstLine="494"/>
              <w:rPr>
                <w:rFonts w:ascii="Times New Roman" w:hAnsi="Times New Roman"/>
                <w:sz w:val="26"/>
                <w:szCs w:val="26"/>
              </w:rPr>
            </w:pPr>
            <w:r w:rsidRPr="00282781">
              <w:rPr>
                <w:rFonts w:ascii="Times New Roman" w:hAnsi="Times New Roman"/>
                <w:sz w:val="26"/>
                <w:szCs w:val="26"/>
              </w:rPr>
              <w:pict>
                <v:line id="_x0000_s1026" style="position:absolute;left:0;text-align:left;z-index:251660288" from="83.75pt,6.75pt" to="155.75pt,6.75pt"/>
              </w:pict>
            </w:r>
          </w:p>
          <w:p w:rsidR="00910EA2" w:rsidRPr="004553CC" w:rsidRDefault="00910EA2" w:rsidP="009B589B">
            <w:pPr>
              <w:ind w:left="-3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53C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553CC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224">
              <w:rPr>
                <w:rFonts w:ascii="Times New Roman" w:hAnsi="Times New Roman"/>
                <w:sz w:val="26"/>
                <w:szCs w:val="26"/>
              </w:rPr>
              <w:t>1334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3CC">
              <w:rPr>
                <w:rFonts w:ascii="Times New Roman" w:hAnsi="Times New Roman"/>
                <w:sz w:val="26"/>
                <w:szCs w:val="26"/>
              </w:rPr>
              <w:t>/TB-SGDHCM</w:t>
            </w:r>
          </w:p>
          <w:p w:rsidR="00910EA2" w:rsidRPr="004553CC" w:rsidRDefault="00910EA2" w:rsidP="009B589B">
            <w:pPr>
              <w:ind w:left="-3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3" w:type="dxa"/>
          </w:tcPr>
          <w:p w:rsidR="00910EA2" w:rsidRPr="004553CC" w:rsidRDefault="00910EA2" w:rsidP="009B5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3CC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910EA2" w:rsidRPr="004553CC" w:rsidRDefault="00910EA2" w:rsidP="009B58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4553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553CC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910EA2" w:rsidRPr="004553CC" w:rsidRDefault="00910EA2" w:rsidP="009B589B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 w:rsidRPr="00282781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_x0000_s1027" style="position:absolute;left:0;text-align:left;z-index:251661312" from="114.45pt,2.45pt" to="197.35pt,2.45pt"/>
              </w:pict>
            </w:r>
            <w:r w:rsidRPr="004553CC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910EA2" w:rsidRPr="004553CC" w:rsidRDefault="00910EA2" w:rsidP="009B589B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Thành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07</w:t>
            </w:r>
            <w:r w:rsidRPr="004553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53CC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4553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4553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53CC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4553CC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910EA2" w:rsidRPr="004553CC" w:rsidRDefault="00910EA2" w:rsidP="009B58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0EA2" w:rsidRPr="004553CC" w:rsidRDefault="00910EA2" w:rsidP="00910EA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4553CC">
        <w:rPr>
          <w:rFonts w:ascii="Times New Roman" w:hAnsi="Times New Roman" w:cs="Times New Roman"/>
          <w:i w:val="0"/>
          <w:sz w:val="26"/>
          <w:szCs w:val="26"/>
        </w:rPr>
        <w:t>THÔNG BÁO</w:t>
      </w:r>
    </w:p>
    <w:p w:rsidR="00910EA2" w:rsidRPr="004553CC" w:rsidRDefault="00910EA2" w:rsidP="00910EA2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553CC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4553C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553CC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4553C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làm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đấu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giá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2018</w:t>
      </w:r>
    </w:p>
    <w:p w:rsidR="00910EA2" w:rsidRPr="004553CC" w:rsidRDefault="00910EA2" w:rsidP="00910EA2">
      <w:pPr>
        <w:jc w:val="center"/>
        <w:rPr>
          <w:rFonts w:ascii="Times New Roman" w:hAnsi="Times New Roman"/>
          <w:sz w:val="26"/>
          <w:szCs w:val="26"/>
        </w:rPr>
      </w:pPr>
      <w:r w:rsidRPr="00282781">
        <w:rPr>
          <w:rFonts w:ascii="Times New Roman" w:hAnsi="Times New Roman"/>
          <w:noProof/>
          <w:sz w:val="26"/>
          <w:szCs w:val="26"/>
        </w:rPr>
        <w:pict>
          <v:line id="_x0000_s1028" style="position:absolute;left:0;text-align:left;z-index:251662336" from="189pt,4.25pt" to="267.95pt,4.25pt"/>
        </w:pic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895/QĐ-UBCK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29/10/2012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mẫu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519/QĐ-SGDHCM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30/12/2014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GDCK) </w:t>
      </w:r>
      <w:proofErr w:type="spellStart"/>
      <w:r>
        <w:rPr>
          <w:rFonts w:ascii="Times New Roman" w:hAnsi="Times New Roman"/>
          <w:sz w:val="26"/>
          <w:szCs w:val="26"/>
        </w:rPr>
        <w:t>TP.Hồ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Quy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chế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tổ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chức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hoạt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động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bán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đấu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giá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59C">
        <w:rPr>
          <w:rFonts w:ascii="Times New Roman" w:hAnsi="Times New Roman"/>
          <w:sz w:val="26"/>
          <w:szCs w:val="26"/>
        </w:rPr>
        <w:t>tại</w:t>
      </w:r>
      <w:proofErr w:type="spellEnd"/>
      <w:r w:rsidRPr="0018759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GDCK TP.</w:t>
      </w:r>
      <w:r w:rsidRPr="007534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chọn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GDCK TP.</w:t>
      </w:r>
      <w:r w:rsidRPr="007534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Minh.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GDCK TP.</w:t>
      </w:r>
      <w:r w:rsidRPr="007534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sz w:val="26"/>
          <w:szCs w:val="26"/>
        </w:rPr>
        <w:t>trân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 Thành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GDCK TP.</w:t>
      </w:r>
      <w:r w:rsidRPr="007534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2018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9E619D">
        <w:rPr>
          <w:rFonts w:ascii="Times New Roman" w:hAnsi="Times New Roman"/>
          <w:sz w:val="26"/>
          <w:szCs w:val="26"/>
        </w:rPr>
        <w:t>ơn</w:t>
      </w:r>
      <w:proofErr w:type="spellEnd"/>
      <w:r w:rsidRPr="009E61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19D">
        <w:rPr>
          <w:rFonts w:ascii="Times New Roman" w:hAnsi="Times New Roman"/>
          <w:sz w:val="26"/>
          <w:szCs w:val="26"/>
        </w:rPr>
        <w:t>đăng</w:t>
      </w:r>
      <w:proofErr w:type="spellEnd"/>
      <w:r w:rsidRPr="009E61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19D"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mẫu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kèm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GDCK TP.</w:t>
      </w:r>
      <w:r w:rsidRPr="007534A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10EA2">
        <w:rPr>
          <w:rFonts w:ascii="Times New Roman" w:hAnsi="Times New Roman"/>
          <w:b/>
          <w:sz w:val="26"/>
          <w:szCs w:val="26"/>
        </w:rPr>
        <w:t xml:space="preserve">16h00 </w:t>
      </w:r>
      <w:proofErr w:type="spellStart"/>
      <w:r w:rsidRPr="00910EA2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910EA2">
        <w:rPr>
          <w:rFonts w:ascii="Times New Roman" w:hAnsi="Times New Roman"/>
          <w:b/>
          <w:sz w:val="26"/>
          <w:szCs w:val="26"/>
        </w:rPr>
        <w:t xml:space="preserve"> 19/12/2017</w:t>
      </w:r>
      <w:r>
        <w:rPr>
          <w:rFonts w:ascii="Times New Roman" w:hAnsi="Times New Roman"/>
          <w:sz w:val="26"/>
          <w:szCs w:val="26"/>
        </w:rPr>
        <w:t>.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Mọi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910EA2" w:rsidRPr="004E0565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565">
        <w:rPr>
          <w:rFonts w:ascii="Times New Roman" w:hAnsi="Times New Roman"/>
          <w:sz w:val="26"/>
          <w:szCs w:val="26"/>
        </w:rPr>
        <w:t xml:space="preserve">Phòng </w:t>
      </w:r>
      <w:proofErr w:type="spellStart"/>
      <w:r w:rsidRPr="004E0565">
        <w:rPr>
          <w:rFonts w:ascii="Times New Roman" w:hAnsi="Times New Roman"/>
          <w:sz w:val="26"/>
          <w:szCs w:val="26"/>
        </w:rPr>
        <w:t>Quản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lý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và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Thẩm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định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Niêm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yết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E0565">
        <w:rPr>
          <w:rFonts w:ascii="Times New Roman" w:hAnsi="Times New Roman"/>
          <w:sz w:val="26"/>
          <w:szCs w:val="26"/>
        </w:rPr>
        <w:t>Sở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Giao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dịch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Chứng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khoán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Thành </w:t>
      </w:r>
      <w:proofErr w:type="spellStart"/>
      <w:r w:rsidRPr="004E0565">
        <w:rPr>
          <w:rFonts w:ascii="Times New Roman" w:hAnsi="Times New Roman"/>
          <w:sz w:val="26"/>
          <w:szCs w:val="26"/>
        </w:rPr>
        <w:t>phố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Hồ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565">
        <w:rPr>
          <w:rFonts w:ascii="Times New Roman" w:hAnsi="Times New Roman"/>
          <w:sz w:val="26"/>
          <w:szCs w:val="26"/>
        </w:rPr>
        <w:t>Chí</w:t>
      </w:r>
      <w:proofErr w:type="spellEnd"/>
      <w:r w:rsidRPr="004E0565">
        <w:rPr>
          <w:rFonts w:ascii="Times New Roman" w:hAnsi="Times New Roman"/>
          <w:sz w:val="26"/>
          <w:szCs w:val="26"/>
        </w:rPr>
        <w:t xml:space="preserve"> Minh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: 16 Võ Văn </w:t>
      </w:r>
      <w:proofErr w:type="spellStart"/>
      <w:r>
        <w:rPr>
          <w:rFonts w:ascii="Times New Roman" w:hAnsi="Times New Roman"/>
          <w:sz w:val="26"/>
          <w:szCs w:val="26"/>
        </w:rPr>
        <w:t>Kiệt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Nguyễn </w:t>
      </w:r>
      <w:proofErr w:type="spellStart"/>
      <w:r>
        <w:rPr>
          <w:rFonts w:ascii="Times New Roman" w:hAnsi="Times New Roman"/>
          <w:sz w:val="26"/>
          <w:szCs w:val="26"/>
        </w:rPr>
        <w:t>Thái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Quận</w:t>
      </w:r>
      <w:proofErr w:type="spellEnd"/>
      <w:r>
        <w:rPr>
          <w:rFonts w:ascii="Times New Roman" w:hAnsi="Times New Roman"/>
          <w:sz w:val="26"/>
          <w:szCs w:val="26"/>
        </w:rPr>
        <w:t xml:space="preserve"> 1, TP. HCM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>: 028.3821.7713 – ext 2525 (</w:t>
      </w:r>
      <w:proofErr w:type="spellStart"/>
      <w:r>
        <w:rPr>
          <w:rFonts w:ascii="Times New Roman" w:hAnsi="Times New Roman"/>
          <w:sz w:val="26"/>
          <w:szCs w:val="26"/>
        </w:rPr>
        <w:t>C.Nhung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Fax: 028.3821.8429.</w:t>
      </w:r>
    </w:p>
    <w:p w:rsidR="00910EA2" w:rsidRDefault="00910EA2" w:rsidP="00910EA2">
      <w:pPr>
        <w:spacing w:before="60" w:after="6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./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10052" w:type="dxa"/>
        <w:tblLook w:val="01E0"/>
      </w:tblPr>
      <w:tblGrid>
        <w:gridCol w:w="4085"/>
        <w:gridCol w:w="5967"/>
      </w:tblGrid>
      <w:tr w:rsidR="00910EA2" w:rsidRPr="004553CC" w:rsidTr="009B589B">
        <w:trPr>
          <w:trHeight w:val="2133"/>
        </w:trPr>
        <w:tc>
          <w:tcPr>
            <w:tcW w:w="4085" w:type="dxa"/>
          </w:tcPr>
          <w:p w:rsidR="00910EA2" w:rsidRPr="004553CC" w:rsidRDefault="00910EA2" w:rsidP="009B589B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3CC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4553C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ơ</w:t>
            </w:r>
            <w:proofErr w:type="spellStart"/>
            <w:r w:rsidRPr="004553CC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4553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53CC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4553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0EA2" w:rsidRPr="004553CC" w:rsidRDefault="00910EA2" w:rsidP="009B589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3CC">
              <w:rPr>
                <w:rFonts w:ascii="Times New Roman" w:hAnsi="Times New Roman"/>
                <w:sz w:val="22"/>
                <w:szCs w:val="22"/>
              </w:rPr>
              <w:t>P.TTTT (CBTT);</w:t>
            </w:r>
          </w:p>
          <w:p w:rsidR="00910EA2" w:rsidRPr="004553CC" w:rsidRDefault="00910EA2" w:rsidP="009B589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20" w:after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53CC">
              <w:rPr>
                <w:rFonts w:ascii="Times New Roman" w:hAnsi="Times New Roman"/>
                <w:sz w:val="22"/>
                <w:szCs w:val="22"/>
              </w:rPr>
              <w:t>L</w:t>
            </w:r>
            <w:r w:rsidRPr="004553CC">
              <w:rPr>
                <w:rFonts w:ascii="Times New Roman" w:hAnsi="Times New Roman"/>
                <w:sz w:val="22"/>
                <w:szCs w:val="22"/>
                <w:lang w:val="vi-VN"/>
              </w:rPr>
              <w:t>ư</w:t>
            </w:r>
            <w:r w:rsidRPr="004553CC">
              <w:rPr>
                <w:rFonts w:ascii="Times New Roman" w:hAnsi="Times New Roman"/>
                <w:sz w:val="22"/>
                <w:szCs w:val="22"/>
                <w:lang w:val="en-GB"/>
              </w:rPr>
              <w:t>u</w:t>
            </w:r>
            <w:r w:rsidRPr="004553CC">
              <w:rPr>
                <w:rFonts w:ascii="Times New Roman" w:hAnsi="Times New Roman"/>
                <w:sz w:val="22"/>
                <w:szCs w:val="22"/>
              </w:rPr>
              <w:t>: VT, NY (3)</w:t>
            </w:r>
            <w:r w:rsidRPr="004553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67" w:type="dxa"/>
          </w:tcPr>
          <w:p w:rsidR="00910EA2" w:rsidRDefault="00910EA2" w:rsidP="009B589B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Pr="004553CC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910EA2" w:rsidRPr="004553CC" w:rsidRDefault="00910EA2" w:rsidP="009B589B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PHÓ TỔNG GIÁM ĐỐC </w:t>
            </w:r>
          </w:p>
          <w:p w:rsidR="00910EA2" w:rsidRDefault="00910EA2" w:rsidP="009B589B">
            <w:pPr>
              <w:spacing w:before="240" w:after="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</w:t>
            </w:r>
            <w:r w:rsidR="0024122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241224"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 w:rsidR="0024122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4122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="0024122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910EA2" w:rsidRPr="004553CC" w:rsidRDefault="00910EA2" w:rsidP="009B589B">
            <w:pPr>
              <w:spacing w:before="240" w:after="2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10EA2" w:rsidRPr="004553CC" w:rsidRDefault="00910EA2" w:rsidP="009B589B">
            <w:pPr>
              <w:spacing w:before="20" w:after="2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10EA2" w:rsidRPr="004553CC" w:rsidRDefault="00910EA2" w:rsidP="009B589B">
            <w:pPr>
              <w:tabs>
                <w:tab w:val="center" w:pos="5940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Trần Anh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Đào</w:t>
            </w:r>
            <w:proofErr w:type="spellEnd"/>
          </w:p>
        </w:tc>
      </w:tr>
    </w:tbl>
    <w:p w:rsidR="00910EA2" w:rsidRDefault="00910EA2" w:rsidP="00910EA2"/>
    <w:p w:rsidR="00195E0F" w:rsidRDefault="00241224"/>
    <w:sectPr w:rsidR="00195E0F" w:rsidSect="000E5AE6">
      <w:pgSz w:w="11907" w:h="16840" w:code="9"/>
      <w:pgMar w:top="1170" w:right="1077" w:bottom="25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139"/>
    <w:multiLevelType w:val="hybridMultilevel"/>
    <w:tmpl w:val="1B9A501A"/>
    <w:lvl w:ilvl="0" w:tplc="56DCB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EA2"/>
    <w:rsid w:val="000B0D19"/>
    <w:rsid w:val="00241224"/>
    <w:rsid w:val="00305337"/>
    <w:rsid w:val="00522078"/>
    <w:rsid w:val="00910EA2"/>
    <w:rsid w:val="00C4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A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10E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10EA2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E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0EA2"/>
    <w:rPr>
      <w:rFonts w:ascii=".VnTime" w:eastAsia="Times New Roman" w:hAnsi=".VnTime" w:cs="Times New Roman"/>
      <w:i/>
      <w:sz w:val="2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910EA2"/>
    <w:pPr>
      <w:ind w:hanging="638"/>
      <w:jc w:val="center"/>
    </w:pPr>
    <w:rPr>
      <w:rFonts w:ascii=".VnTimeH" w:hAnsi=".VnTimeH"/>
      <w:b/>
      <w:noProof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10EA2"/>
    <w:rPr>
      <w:rFonts w:ascii=".VnTimeH" w:eastAsia="Times New Roman" w:hAnsi=".VnTimeH" w:cs="Times New Roman"/>
      <w:b/>
      <w:noProof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10EA2"/>
    <w:pPr>
      <w:jc w:val="center"/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910EA2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customStyle="1" w:styleId="Default">
    <w:name w:val="Default"/>
    <w:rsid w:val="00910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2</cp:revision>
  <cp:lastPrinted>2017-12-07T06:45:00Z</cp:lastPrinted>
  <dcterms:created xsi:type="dcterms:W3CDTF">2017-12-07T04:17:00Z</dcterms:created>
  <dcterms:modified xsi:type="dcterms:W3CDTF">2017-12-07T10:15:00Z</dcterms:modified>
</cp:coreProperties>
</file>